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2D" w:rsidRPr="00970A2D" w:rsidRDefault="00970A2D">
      <w:pPr>
        <w:rPr>
          <w:rFonts w:ascii="Times New Roman" w:hAnsi="Times New Roman" w:cs="Times New Roman"/>
          <w:sz w:val="24"/>
          <w:szCs w:val="24"/>
        </w:rPr>
      </w:pPr>
    </w:p>
    <w:tbl>
      <w:tblPr>
        <w:tblW w:w="0" w:type="auto"/>
        <w:tblInd w:w="108" w:type="dxa"/>
        <w:tblLayout w:type="fixed"/>
        <w:tblLook w:val="04A0"/>
      </w:tblPr>
      <w:tblGrid>
        <w:gridCol w:w="9639"/>
      </w:tblGrid>
      <w:tr w:rsidR="00970A2D" w:rsidRPr="00970A2D" w:rsidTr="00970A2D">
        <w:trPr>
          <w:trHeight w:val="1055"/>
        </w:trPr>
        <w:tc>
          <w:tcPr>
            <w:tcW w:w="9639" w:type="dxa"/>
          </w:tcPr>
          <w:p w:rsidR="00970A2D" w:rsidRPr="00970A2D" w:rsidRDefault="00970A2D">
            <w:pPr>
              <w:spacing w:line="240" w:lineRule="atLeast"/>
              <w:jc w:val="center"/>
              <w:rPr>
                <w:rFonts w:ascii="Times New Roman" w:eastAsia="Times New Roman" w:hAnsi="Times New Roman" w:cs="Times New Roman"/>
                <w:sz w:val="28"/>
                <w:szCs w:val="24"/>
                <w:lang w:val="en-US"/>
              </w:rPr>
            </w:pPr>
            <w:r w:rsidRPr="00970A2D">
              <w:rPr>
                <w:rFonts w:ascii="Times New Roman" w:hAnsi="Times New Roman" w:cs="Times New Roman"/>
                <w:noProof/>
                <w:sz w:val="28"/>
                <w:lang w:val="en-US"/>
              </w:rPr>
              <w:drawing>
                <wp:inline distT="0" distB="0" distL="0" distR="0">
                  <wp:extent cx="516890" cy="668020"/>
                  <wp:effectExtent l="19050" t="0" r="0" b="0"/>
                  <wp:docPr id="1" name="Paveikslėlis 1" descr="Pageg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giu"/>
                          <pic:cNvPicPr>
                            <a:picLocks noChangeAspect="1" noChangeArrowheads="1"/>
                          </pic:cNvPicPr>
                        </pic:nvPicPr>
                        <pic:blipFill>
                          <a:blip r:embed="rId6" cstate="print"/>
                          <a:srcRect/>
                          <a:stretch>
                            <a:fillRect/>
                          </a:stretch>
                        </pic:blipFill>
                        <pic:spPr bwMode="auto">
                          <a:xfrm>
                            <a:off x="0" y="0"/>
                            <a:ext cx="516890" cy="668020"/>
                          </a:xfrm>
                          <a:prstGeom prst="rect">
                            <a:avLst/>
                          </a:prstGeom>
                          <a:noFill/>
                          <a:ln w="9525">
                            <a:noFill/>
                            <a:miter lim="800000"/>
                            <a:headEnd/>
                            <a:tailEnd/>
                          </a:ln>
                        </pic:spPr>
                      </pic:pic>
                    </a:graphicData>
                  </a:graphic>
                </wp:inline>
              </w:drawing>
            </w:r>
          </w:p>
          <w:p w:rsidR="00970A2D" w:rsidRPr="00970A2D" w:rsidRDefault="00970A2D">
            <w:pPr>
              <w:spacing w:line="240" w:lineRule="atLeast"/>
              <w:jc w:val="center"/>
              <w:rPr>
                <w:rFonts w:ascii="Times New Roman" w:hAnsi="Times New Roman" w:cs="Times New Roman"/>
                <w:color w:val="000000"/>
                <w:sz w:val="28"/>
                <w:szCs w:val="24"/>
                <w:lang w:val="en-US"/>
              </w:rPr>
            </w:pPr>
          </w:p>
        </w:tc>
      </w:tr>
      <w:tr w:rsidR="00970A2D" w:rsidRPr="00970A2D" w:rsidTr="00970A2D">
        <w:trPr>
          <w:trHeight w:val="1346"/>
        </w:trPr>
        <w:tc>
          <w:tcPr>
            <w:tcW w:w="9639" w:type="dxa"/>
            <w:hideMark/>
          </w:tcPr>
          <w:p w:rsidR="00970A2D" w:rsidRPr="00970A2D" w:rsidRDefault="00970A2D">
            <w:pPr>
              <w:ind w:firstLine="720"/>
              <w:rPr>
                <w:rFonts w:ascii="Times New Roman" w:eastAsia="Times New Roman" w:hAnsi="Times New Roman" w:cs="Times New Roman"/>
                <w:b/>
                <w:sz w:val="24"/>
                <w:szCs w:val="24"/>
              </w:rPr>
            </w:pPr>
            <w:r w:rsidRPr="00970A2D">
              <w:rPr>
                <w:rFonts w:ascii="Times New Roman" w:hAnsi="Times New Roman" w:cs="Times New Roman"/>
                <w:b/>
              </w:rPr>
              <w:t xml:space="preserve">    PAGĖGIŲ SAVIVALDYBĖS MARTYNO JANKAUS MUZIEJAUS</w:t>
            </w:r>
          </w:p>
          <w:tbl>
            <w:tblPr>
              <w:tblW w:w="9470" w:type="dxa"/>
              <w:tblInd w:w="108" w:type="dxa"/>
              <w:tblLayout w:type="fixed"/>
              <w:tblLook w:val="04A0"/>
            </w:tblPr>
            <w:tblGrid>
              <w:gridCol w:w="9470"/>
            </w:tblGrid>
            <w:tr w:rsidR="00970A2D" w:rsidRPr="00970A2D" w:rsidTr="00970A2D">
              <w:trPr>
                <w:trHeight w:val="132"/>
              </w:trPr>
              <w:tc>
                <w:tcPr>
                  <w:tcW w:w="9470" w:type="dxa"/>
                </w:tcPr>
                <w:p w:rsidR="00970A2D" w:rsidRPr="00970A2D" w:rsidRDefault="00970A2D">
                  <w:pPr>
                    <w:jc w:val="center"/>
                    <w:rPr>
                      <w:rFonts w:ascii="Times New Roman" w:eastAsia="Times New Roman" w:hAnsi="Times New Roman" w:cs="Times New Roman"/>
                      <w:b/>
                      <w:sz w:val="24"/>
                      <w:szCs w:val="24"/>
                      <w:lang w:eastAsia="lt-LT"/>
                    </w:rPr>
                  </w:pPr>
                  <w:r w:rsidRPr="00970A2D">
                    <w:rPr>
                      <w:rFonts w:ascii="Times New Roman" w:hAnsi="Times New Roman" w:cs="Times New Roman"/>
                      <w:b/>
                    </w:rPr>
                    <w:t>DIREKTORĖ</w:t>
                  </w:r>
                </w:p>
                <w:p w:rsidR="00970A2D" w:rsidRPr="00970A2D" w:rsidRDefault="00970A2D">
                  <w:pPr>
                    <w:jc w:val="center"/>
                    <w:rPr>
                      <w:rFonts w:ascii="Times New Roman" w:hAnsi="Times New Roman" w:cs="Times New Roman"/>
                      <w:sz w:val="20"/>
                      <w:szCs w:val="20"/>
                    </w:rPr>
                  </w:pPr>
                </w:p>
              </w:tc>
            </w:tr>
            <w:tr w:rsidR="00970A2D" w:rsidRPr="00970A2D" w:rsidTr="00970A2D">
              <w:trPr>
                <w:trHeight w:val="213"/>
              </w:trPr>
              <w:tc>
                <w:tcPr>
                  <w:tcW w:w="9470" w:type="dxa"/>
                </w:tcPr>
                <w:p w:rsidR="00970A2D" w:rsidRPr="00970A2D" w:rsidRDefault="00970A2D" w:rsidP="00970A2D">
                  <w:pPr>
                    <w:rPr>
                      <w:rFonts w:ascii="Times New Roman" w:hAnsi="Times New Roman" w:cs="Times New Roman"/>
                      <w:sz w:val="20"/>
                      <w:szCs w:val="20"/>
                    </w:rPr>
                  </w:pPr>
                </w:p>
              </w:tc>
            </w:tr>
          </w:tbl>
          <w:p w:rsidR="00970A2D" w:rsidRPr="00970A2D" w:rsidRDefault="00970A2D">
            <w:pPr>
              <w:spacing w:before="120"/>
              <w:jc w:val="center"/>
              <w:rPr>
                <w:rFonts w:ascii="Times New Roman" w:hAnsi="Times New Roman" w:cs="Times New Roman"/>
                <w:color w:val="000000"/>
                <w:sz w:val="20"/>
                <w:szCs w:val="24"/>
              </w:rPr>
            </w:pPr>
          </w:p>
        </w:tc>
      </w:tr>
    </w:tbl>
    <w:p w:rsidR="00970A2D" w:rsidRPr="00970A2D" w:rsidRDefault="00970A2D" w:rsidP="00970A2D">
      <w:pPr>
        <w:rPr>
          <w:rFonts w:ascii="Times New Roman" w:hAnsi="Times New Roman" w:cs="Times New Roman"/>
          <w:b/>
        </w:rPr>
      </w:pPr>
    </w:p>
    <w:p w:rsidR="00970A2D" w:rsidRPr="00970A2D" w:rsidRDefault="00970A2D" w:rsidP="00970A2D">
      <w:pPr>
        <w:jc w:val="center"/>
        <w:rPr>
          <w:rFonts w:ascii="Times New Roman" w:hAnsi="Times New Roman" w:cs="Times New Roman"/>
          <w:b/>
        </w:rPr>
      </w:pPr>
      <w:r w:rsidRPr="00970A2D">
        <w:rPr>
          <w:rFonts w:ascii="Times New Roman" w:hAnsi="Times New Roman" w:cs="Times New Roman"/>
          <w:b/>
        </w:rPr>
        <w:t>ĮSAKYMAS</w:t>
      </w:r>
    </w:p>
    <w:p w:rsidR="00970A2D" w:rsidRPr="00970A2D" w:rsidRDefault="00970A2D" w:rsidP="00970A2D">
      <w:pPr>
        <w:tabs>
          <w:tab w:val="left" w:pos="2670"/>
        </w:tabs>
        <w:jc w:val="center"/>
        <w:rPr>
          <w:rFonts w:ascii="Times New Roman" w:hAnsi="Times New Roman" w:cs="Times New Roman"/>
          <w:b/>
          <w:bCs/>
        </w:rPr>
      </w:pPr>
      <w:r w:rsidRPr="00970A2D">
        <w:rPr>
          <w:rFonts w:ascii="Times New Roman" w:hAnsi="Times New Roman" w:cs="Times New Roman"/>
          <w:b/>
        </w:rPr>
        <w:t xml:space="preserve">DĖL  </w:t>
      </w:r>
      <w:r w:rsidRPr="00970A2D">
        <w:rPr>
          <w:rFonts w:ascii="Times New Roman" w:hAnsi="Times New Roman" w:cs="Times New Roman"/>
          <w:b/>
          <w:bCs/>
        </w:rPr>
        <w:t xml:space="preserve">VYKIMO Į TARNYBINES KOMANDIRUOTES IR JŲ IŠLAIDŲ APMOKĖJIMO </w:t>
      </w:r>
    </w:p>
    <w:p w:rsidR="00970A2D" w:rsidRPr="00970A2D" w:rsidRDefault="00970A2D" w:rsidP="00970A2D">
      <w:pPr>
        <w:jc w:val="center"/>
        <w:rPr>
          <w:rFonts w:ascii="Times New Roman" w:hAnsi="Times New Roman" w:cs="Times New Roman"/>
          <w:b/>
        </w:rPr>
      </w:pPr>
      <w:r w:rsidRPr="00970A2D">
        <w:rPr>
          <w:rFonts w:ascii="Times New Roman" w:hAnsi="Times New Roman" w:cs="Times New Roman"/>
          <w:b/>
        </w:rPr>
        <w:t xml:space="preserve">TVARKOS APRAŠO TVIRTINIMO </w:t>
      </w:r>
    </w:p>
    <w:p w:rsidR="00970A2D" w:rsidRPr="00970A2D" w:rsidRDefault="00970A2D" w:rsidP="00970A2D">
      <w:pPr>
        <w:jc w:val="center"/>
        <w:rPr>
          <w:rFonts w:ascii="Times New Roman" w:hAnsi="Times New Roman" w:cs="Times New Roman"/>
          <w:bCs/>
          <w:color w:val="000000"/>
        </w:rPr>
      </w:pPr>
      <w:r w:rsidRPr="00970A2D">
        <w:rPr>
          <w:rFonts w:ascii="Times New Roman" w:hAnsi="Times New Roman" w:cs="Times New Roman"/>
          <w:bCs/>
        </w:rPr>
        <w:t xml:space="preserve">2020-12-28 Nr. </w:t>
      </w:r>
      <w:r w:rsidRPr="00970A2D">
        <w:rPr>
          <w:rFonts w:ascii="Times New Roman" w:hAnsi="Times New Roman" w:cs="Times New Roman"/>
          <w:bCs/>
          <w:color w:val="000000"/>
        </w:rPr>
        <w:t>VĮ-21</w:t>
      </w:r>
    </w:p>
    <w:p w:rsidR="00970A2D" w:rsidRPr="00970A2D" w:rsidRDefault="00970A2D" w:rsidP="00970A2D">
      <w:pPr>
        <w:jc w:val="center"/>
        <w:rPr>
          <w:rFonts w:ascii="Times New Roman" w:hAnsi="Times New Roman" w:cs="Times New Roman"/>
        </w:rPr>
      </w:pPr>
      <w:r w:rsidRPr="00970A2D">
        <w:rPr>
          <w:rFonts w:ascii="Times New Roman" w:hAnsi="Times New Roman" w:cs="Times New Roman"/>
        </w:rPr>
        <w:t>Bitėnai</w:t>
      </w:r>
    </w:p>
    <w:p w:rsidR="00970A2D" w:rsidRPr="00970A2D" w:rsidRDefault="00970A2D" w:rsidP="00970A2D">
      <w:pPr>
        <w:jc w:val="center"/>
        <w:rPr>
          <w:rFonts w:ascii="Times New Roman" w:hAnsi="Times New Roman" w:cs="Times New Roman"/>
        </w:rPr>
      </w:pPr>
    </w:p>
    <w:p w:rsidR="00970A2D" w:rsidRPr="00410E54" w:rsidRDefault="00970A2D" w:rsidP="00970A2D">
      <w:pPr>
        <w:pStyle w:val="Sraopastraipa"/>
        <w:spacing w:after="0" w:line="360" w:lineRule="auto"/>
        <w:jc w:val="both"/>
        <w:rPr>
          <w:rFonts w:ascii="Times New Roman" w:eastAsia="Times New Roman" w:hAnsi="Times New Roman"/>
          <w:sz w:val="24"/>
          <w:szCs w:val="24"/>
          <w:lang w:eastAsia="lt-LT"/>
        </w:rPr>
      </w:pPr>
      <w:r w:rsidRPr="00970A2D">
        <w:rPr>
          <w:rFonts w:ascii="Times New Roman" w:hAnsi="Times New Roman" w:cs="Times New Roman"/>
          <w:b/>
        </w:rPr>
        <w:t xml:space="preserve">        </w:t>
      </w:r>
      <w:r>
        <w:rPr>
          <w:rFonts w:ascii="Times New Roman" w:hAnsi="Times New Roman" w:cs="Times New Roman"/>
          <w:b/>
        </w:rPr>
        <w:t xml:space="preserve">  </w:t>
      </w:r>
      <w:r w:rsidRPr="00410E54">
        <w:rPr>
          <w:rFonts w:ascii="Times New Roman" w:hAnsi="Times New Roman"/>
          <w:sz w:val="24"/>
          <w:szCs w:val="24"/>
        </w:rPr>
        <w:t xml:space="preserve">Vadovaujantis </w:t>
      </w:r>
      <w:r w:rsidRPr="00410E54">
        <w:rPr>
          <w:rFonts w:ascii="Times New Roman" w:eastAsia="Times New Roman" w:hAnsi="Times New Roman"/>
          <w:color w:val="000000"/>
          <w:sz w:val="24"/>
          <w:szCs w:val="24"/>
          <w:lang w:eastAsia="lt-LT"/>
        </w:rPr>
        <w:t xml:space="preserve">Lietuvos Respublikos Vyriausybės </w:t>
      </w:r>
      <w:r w:rsidRPr="00410E54">
        <w:rPr>
          <w:rFonts w:ascii="Times New Roman" w:eastAsia="Times New Roman" w:hAnsi="Times New Roman"/>
          <w:sz w:val="24"/>
          <w:szCs w:val="24"/>
          <w:lang w:eastAsia="lt-LT"/>
        </w:rPr>
        <w:t>2017 m. birželio 28 d. nutarimu Nr. 523 „Dėl LR Vyriausybės 2004 m. balandžio 29 d. nutarimo Nr. 526 „Dėl tarnybinių komandiruočių išlaidų apmokėjimo biudžetinėse įstaigose taisyklių patvirtinimo‚ pakeitimo“.</w:t>
      </w:r>
    </w:p>
    <w:p w:rsidR="00970A2D" w:rsidRPr="00410E54" w:rsidRDefault="00970A2D" w:rsidP="00970A2D">
      <w:pPr>
        <w:pStyle w:val="Sraopastraipa"/>
        <w:tabs>
          <w:tab w:val="left" w:pos="2670"/>
        </w:tabs>
        <w:spacing w:line="360" w:lineRule="auto"/>
        <w:jc w:val="both"/>
        <w:rPr>
          <w:rFonts w:ascii="Times New Roman" w:hAnsi="Times New Roman"/>
          <w:sz w:val="24"/>
          <w:szCs w:val="24"/>
        </w:rPr>
      </w:pPr>
      <w:r w:rsidRPr="00410E54">
        <w:rPr>
          <w:rFonts w:ascii="Times New Roman" w:hAnsi="Times New Roman"/>
          <w:sz w:val="24"/>
          <w:szCs w:val="24"/>
        </w:rPr>
        <w:t>t v i r t i n u Vykimo į tarnybines komandiruotes  ir jų išlaidų apmokėjimo tvarkos Pagėgių savivaldybės  Martyno Jankaus muziejuje tvarkos aprašą (pridedama).</w:t>
      </w:r>
    </w:p>
    <w:p w:rsidR="00970A2D" w:rsidRPr="00970A2D" w:rsidRDefault="00970A2D" w:rsidP="00970A2D">
      <w:pPr>
        <w:jc w:val="both"/>
        <w:rPr>
          <w:rFonts w:ascii="Times New Roman" w:hAnsi="Times New Roman" w:cs="Times New Roman"/>
          <w:bCs/>
          <w:sz w:val="24"/>
          <w:szCs w:val="24"/>
        </w:rPr>
      </w:pPr>
    </w:p>
    <w:p w:rsidR="00970A2D" w:rsidRPr="00970A2D" w:rsidRDefault="00970A2D" w:rsidP="00970A2D">
      <w:pPr>
        <w:ind w:firstLine="1296"/>
        <w:jc w:val="both"/>
        <w:rPr>
          <w:rFonts w:ascii="Times New Roman" w:hAnsi="Times New Roman" w:cs="Times New Roman"/>
          <w:bCs/>
          <w:sz w:val="24"/>
          <w:szCs w:val="24"/>
        </w:rPr>
      </w:pPr>
      <w:r w:rsidRPr="00970A2D">
        <w:rPr>
          <w:rFonts w:ascii="Times New Roman" w:hAnsi="Times New Roman" w:cs="Times New Roman"/>
          <w:bCs/>
          <w:sz w:val="24"/>
          <w:szCs w:val="24"/>
        </w:rPr>
        <w:t>Šis įsakymas gali būti skundžiamas Lietuvos Respublikos administracinių bylų teisenos įstatymų nustatyta tvarka.</w:t>
      </w:r>
    </w:p>
    <w:p w:rsidR="00970A2D" w:rsidRPr="00970A2D" w:rsidRDefault="00970A2D" w:rsidP="00970A2D">
      <w:pPr>
        <w:ind w:firstLine="1296"/>
        <w:jc w:val="both"/>
        <w:rPr>
          <w:rFonts w:ascii="Times New Roman" w:hAnsi="Times New Roman" w:cs="Times New Roman"/>
          <w:bCs/>
          <w:sz w:val="24"/>
          <w:szCs w:val="24"/>
        </w:rPr>
      </w:pPr>
    </w:p>
    <w:p w:rsidR="00970A2D" w:rsidRPr="00970A2D" w:rsidRDefault="00970A2D" w:rsidP="00970A2D">
      <w:pPr>
        <w:ind w:firstLine="1296"/>
        <w:jc w:val="both"/>
        <w:rPr>
          <w:rFonts w:ascii="Times New Roman" w:hAnsi="Times New Roman" w:cs="Times New Roman"/>
          <w:bCs/>
          <w:sz w:val="24"/>
          <w:szCs w:val="24"/>
        </w:rPr>
      </w:pPr>
    </w:p>
    <w:p w:rsidR="00970A2D" w:rsidRPr="00970A2D" w:rsidRDefault="00970A2D" w:rsidP="00970A2D">
      <w:pPr>
        <w:ind w:firstLine="1296"/>
        <w:jc w:val="both"/>
        <w:rPr>
          <w:rFonts w:ascii="Times New Roman" w:hAnsi="Times New Roman" w:cs="Times New Roman"/>
          <w:bCs/>
          <w:sz w:val="24"/>
          <w:szCs w:val="24"/>
        </w:rPr>
      </w:pPr>
    </w:p>
    <w:p w:rsidR="00970A2D" w:rsidRPr="00970A2D" w:rsidRDefault="00970A2D" w:rsidP="00970A2D">
      <w:pPr>
        <w:ind w:firstLine="1296"/>
        <w:jc w:val="both"/>
        <w:rPr>
          <w:rFonts w:ascii="Times New Roman" w:hAnsi="Times New Roman" w:cs="Times New Roman"/>
          <w:bCs/>
          <w:sz w:val="24"/>
          <w:szCs w:val="24"/>
        </w:rPr>
      </w:pPr>
    </w:p>
    <w:p w:rsidR="00970A2D" w:rsidRPr="00970A2D" w:rsidRDefault="00970A2D" w:rsidP="00970A2D">
      <w:pPr>
        <w:ind w:firstLine="1296"/>
        <w:jc w:val="both"/>
        <w:rPr>
          <w:rFonts w:ascii="Times New Roman" w:hAnsi="Times New Roman" w:cs="Times New Roman"/>
          <w:bCs/>
          <w:sz w:val="24"/>
          <w:szCs w:val="24"/>
        </w:rPr>
      </w:pPr>
    </w:p>
    <w:p w:rsidR="00970A2D" w:rsidRPr="00970A2D" w:rsidRDefault="00970A2D" w:rsidP="00970A2D">
      <w:pPr>
        <w:ind w:firstLine="1296"/>
        <w:jc w:val="both"/>
        <w:rPr>
          <w:rFonts w:ascii="Times New Roman" w:hAnsi="Times New Roman" w:cs="Times New Roman"/>
          <w:bCs/>
          <w:sz w:val="24"/>
          <w:szCs w:val="24"/>
        </w:rPr>
      </w:pPr>
      <w:r w:rsidRPr="00970A2D">
        <w:rPr>
          <w:rFonts w:ascii="Times New Roman" w:hAnsi="Times New Roman" w:cs="Times New Roman"/>
          <w:b/>
          <w:sz w:val="24"/>
          <w:szCs w:val="24"/>
        </w:rPr>
        <w:t xml:space="preserve"> </w:t>
      </w:r>
    </w:p>
    <w:p w:rsidR="00970A2D" w:rsidRPr="00970A2D" w:rsidRDefault="00970A2D" w:rsidP="00970A2D">
      <w:pPr>
        <w:rPr>
          <w:bCs/>
          <w:sz w:val="24"/>
          <w:szCs w:val="24"/>
        </w:rPr>
      </w:pPr>
      <w:r w:rsidRPr="00970A2D">
        <w:rPr>
          <w:rFonts w:ascii="Times New Roman" w:hAnsi="Times New Roman" w:cs="Times New Roman"/>
          <w:bCs/>
          <w:sz w:val="24"/>
          <w:szCs w:val="24"/>
        </w:rPr>
        <w:t>Direktorė</w:t>
      </w:r>
      <w:r w:rsidRPr="00970A2D">
        <w:rPr>
          <w:rFonts w:ascii="Times New Roman" w:hAnsi="Times New Roman" w:cs="Times New Roman"/>
          <w:bCs/>
          <w:sz w:val="24"/>
          <w:szCs w:val="24"/>
        </w:rPr>
        <w:tab/>
      </w:r>
      <w:r w:rsidRPr="00970A2D">
        <w:rPr>
          <w:rFonts w:ascii="Times New Roman" w:hAnsi="Times New Roman" w:cs="Times New Roman"/>
          <w:bCs/>
          <w:sz w:val="24"/>
          <w:szCs w:val="24"/>
        </w:rPr>
        <w:tab/>
      </w:r>
      <w:r w:rsidRPr="00970A2D">
        <w:rPr>
          <w:rFonts w:ascii="Times New Roman" w:hAnsi="Times New Roman" w:cs="Times New Roman"/>
          <w:bCs/>
          <w:sz w:val="24"/>
          <w:szCs w:val="24"/>
        </w:rPr>
        <w:tab/>
      </w:r>
      <w:r w:rsidRPr="00970A2D">
        <w:rPr>
          <w:rFonts w:ascii="Times New Roman" w:hAnsi="Times New Roman" w:cs="Times New Roman"/>
          <w:bCs/>
          <w:sz w:val="24"/>
          <w:szCs w:val="24"/>
        </w:rPr>
        <w:tab/>
      </w:r>
      <w:r w:rsidRPr="00970A2D">
        <w:rPr>
          <w:rFonts w:ascii="Times New Roman" w:hAnsi="Times New Roman" w:cs="Times New Roman"/>
          <w:bCs/>
          <w:sz w:val="24"/>
          <w:szCs w:val="24"/>
        </w:rPr>
        <w:tab/>
        <w:t xml:space="preserve">  Liudvika </w:t>
      </w:r>
      <w:proofErr w:type="spellStart"/>
      <w:r w:rsidRPr="00970A2D">
        <w:rPr>
          <w:rFonts w:ascii="Times New Roman" w:hAnsi="Times New Roman" w:cs="Times New Roman"/>
          <w:bCs/>
          <w:sz w:val="24"/>
          <w:szCs w:val="24"/>
        </w:rPr>
        <w:t>Burzdžiuvienė</w:t>
      </w:r>
      <w:proofErr w:type="spellEnd"/>
      <w:r w:rsidRPr="00970A2D">
        <w:rPr>
          <w:bCs/>
          <w:sz w:val="24"/>
          <w:szCs w:val="24"/>
        </w:rPr>
        <w:tab/>
      </w:r>
    </w:p>
    <w:p w:rsidR="00970A2D" w:rsidRPr="00970A2D" w:rsidRDefault="00970A2D" w:rsidP="00970A2D">
      <w:pPr>
        <w:jc w:val="both"/>
        <w:rPr>
          <w:bCs/>
          <w:sz w:val="24"/>
          <w:szCs w:val="24"/>
        </w:rPr>
      </w:pPr>
    </w:p>
    <w:p w:rsidR="00970A2D" w:rsidRDefault="00970A2D" w:rsidP="00970A2D">
      <w:pPr>
        <w:jc w:val="both"/>
        <w:rPr>
          <w:bCs/>
        </w:rPr>
      </w:pPr>
    </w:p>
    <w:p w:rsidR="00970A2D" w:rsidRDefault="00970A2D" w:rsidP="00970A2D">
      <w:pPr>
        <w:jc w:val="both"/>
        <w:rPr>
          <w:bCs/>
        </w:rPr>
      </w:pPr>
    </w:p>
    <w:p w:rsidR="00970A2D" w:rsidRDefault="00970A2D" w:rsidP="00970A2D">
      <w:pPr>
        <w:jc w:val="both"/>
        <w:rPr>
          <w:bCs/>
        </w:rPr>
      </w:pPr>
    </w:p>
    <w:p w:rsidR="00970A2D" w:rsidRDefault="00970A2D" w:rsidP="00970A2D">
      <w:pPr>
        <w:jc w:val="both"/>
        <w:rPr>
          <w:bCs/>
        </w:rPr>
      </w:pPr>
    </w:p>
    <w:p w:rsidR="00970A2D" w:rsidRDefault="00970A2D">
      <w:pPr>
        <w:rPr>
          <w:rFonts w:ascii="Times New Roman" w:hAnsi="Times New Roman" w:cs="Times New Roman"/>
          <w:sz w:val="24"/>
          <w:szCs w:val="24"/>
        </w:rPr>
      </w:pPr>
    </w:p>
    <w:p w:rsidR="002E4CDA" w:rsidRPr="0053390B" w:rsidRDefault="00EF6BA1" w:rsidP="00EF6B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555F1" w:rsidRPr="0053390B">
        <w:rPr>
          <w:rFonts w:ascii="Times New Roman" w:hAnsi="Times New Roman" w:cs="Times New Roman"/>
          <w:sz w:val="24"/>
          <w:szCs w:val="24"/>
        </w:rPr>
        <w:t>PATVIRTINTA</w:t>
      </w:r>
    </w:p>
    <w:p w:rsidR="00B555F1" w:rsidRPr="0053390B" w:rsidRDefault="00EF6BA1" w:rsidP="00EF6B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555F1" w:rsidRPr="0053390B">
        <w:rPr>
          <w:rFonts w:ascii="Times New Roman" w:hAnsi="Times New Roman" w:cs="Times New Roman"/>
          <w:sz w:val="24"/>
          <w:szCs w:val="24"/>
        </w:rPr>
        <w:t xml:space="preserve">Pagėgių savivaldybės </w:t>
      </w:r>
    </w:p>
    <w:p w:rsidR="00B555F1" w:rsidRPr="0053390B" w:rsidRDefault="00EF6BA1" w:rsidP="00EF6B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555F1" w:rsidRPr="0053390B">
        <w:rPr>
          <w:rFonts w:ascii="Times New Roman" w:hAnsi="Times New Roman" w:cs="Times New Roman"/>
          <w:sz w:val="24"/>
          <w:szCs w:val="24"/>
        </w:rPr>
        <w:t>Martyno Jankaus muziejaus</w:t>
      </w:r>
    </w:p>
    <w:p w:rsidR="00B555F1" w:rsidRPr="00EF6BA1" w:rsidRDefault="00EF6BA1" w:rsidP="00EF6B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555F1" w:rsidRPr="00EF6BA1">
        <w:rPr>
          <w:rFonts w:ascii="Times New Roman" w:hAnsi="Times New Roman" w:cs="Times New Roman"/>
          <w:sz w:val="24"/>
          <w:szCs w:val="24"/>
        </w:rPr>
        <w:t>direktoriaus 20</w:t>
      </w:r>
      <w:r w:rsidRPr="00EF6BA1">
        <w:rPr>
          <w:rFonts w:ascii="Times New Roman" w:hAnsi="Times New Roman" w:cs="Times New Roman"/>
          <w:sz w:val="24"/>
          <w:szCs w:val="24"/>
        </w:rPr>
        <w:t>20</w:t>
      </w:r>
      <w:r w:rsidR="00B555F1" w:rsidRPr="00EF6BA1">
        <w:rPr>
          <w:rFonts w:ascii="Times New Roman" w:hAnsi="Times New Roman" w:cs="Times New Roman"/>
          <w:sz w:val="24"/>
          <w:szCs w:val="24"/>
        </w:rPr>
        <w:t xml:space="preserve"> m. </w:t>
      </w:r>
      <w:r w:rsidRPr="00EF6BA1">
        <w:rPr>
          <w:rFonts w:ascii="Times New Roman" w:hAnsi="Times New Roman" w:cs="Times New Roman"/>
          <w:sz w:val="24"/>
          <w:szCs w:val="24"/>
        </w:rPr>
        <w:t>gruodžio 28</w:t>
      </w:r>
      <w:r w:rsidR="00B555F1" w:rsidRPr="00EF6BA1">
        <w:rPr>
          <w:rFonts w:ascii="Times New Roman" w:hAnsi="Times New Roman" w:cs="Times New Roman"/>
          <w:sz w:val="24"/>
          <w:szCs w:val="24"/>
        </w:rPr>
        <w:t xml:space="preserve"> </w:t>
      </w:r>
      <w:r>
        <w:rPr>
          <w:rFonts w:ascii="Times New Roman" w:hAnsi="Times New Roman" w:cs="Times New Roman"/>
          <w:sz w:val="24"/>
          <w:szCs w:val="24"/>
        </w:rPr>
        <w:t>d.</w:t>
      </w:r>
    </w:p>
    <w:p w:rsidR="00B555F1" w:rsidRPr="00EF6BA1" w:rsidRDefault="00EF6BA1" w:rsidP="00EF6B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555F1" w:rsidRPr="00EF6BA1">
        <w:rPr>
          <w:rFonts w:ascii="Times New Roman" w:hAnsi="Times New Roman" w:cs="Times New Roman"/>
          <w:sz w:val="24"/>
          <w:szCs w:val="24"/>
        </w:rPr>
        <w:t>įsakymu Nr.</w:t>
      </w:r>
      <w:r>
        <w:rPr>
          <w:rFonts w:ascii="Times New Roman" w:hAnsi="Times New Roman" w:cs="Times New Roman"/>
          <w:sz w:val="24"/>
          <w:szCs w:val="24"/>
        </w:rPr>
        <w:t xml:space="preserve"> VĮ - 21</w:t>
      </w:r>
    </w:p>
    <w:p w:rsidR="00B555F1" w:rsidRPr="0053390B" w:rsidRDefault="00B555F1" w:rsidP="00B555F1">
      <w:pPr>
        <w:rPr>
          <w:rFonts w:ascii="Times New Roman" w:hAnsi="Times New Roman" w:cs="Times New Roman"/>
          <w:sz w:val="24"/>
          <w:szCs w:val="24"/>
        </w:rPr>
      </w:pPr>
    </w:p>
    <w:p w:rsidR="00B555F1" w:rsidRPr="0053390B" w:rsidRDefault="00B555F1" w:rsidP="00B555F1">
      <w:pPr>
        <w:rPr>
          <w:rFonts w:ascii="Times New Roman" w:hAnsi="Times New Roman" w:cs="Times New Roman"/>
          <w:sz w:val="24"/>
          <w:szCs w:val="24"/>
        </w:rPr>
      </w:pPr>
    </w:p>
    <w:p w:rsidR="00B555F1" w:rsidRPr="0053390B" w:rsidRDefault="00B555F1" w:rsidP="00B555F1">
      <w:pPr>
        <w:tabs>
          <w:tab w:val="left" w:pos="2670"/>
        </w:tabs>
        <w:jc w:val="center"/>
        <w:rPr>
          <w:rFonts w:ascii="Times New Roman" w:hAnsi="Times New Roman" w:cs="Times New Roman"/>
          <w:b/>
          <w:bCs/>
          <w:sz w:val="24"/>
          <w:szCs w:val="24"/>
        </w:rPr>
      </w:pPr>
      <w:r w:rsidRPr="0053390B">
        <w:rPr>
          <w:rFonts w:ascii="Times New Roman" w:hAnsi="Times New Roman" w:cs="Times New Roman"/>
          <w:b/>
          <w:bCs/>
          <w:sz w:val="24"/>
          <w:szCs w:val="24"/>
        </w:rPr>
        <w:t xml:space="preserve">VYKIMO Į TARNYBINES KOMANDIRUOTES IR JŲ IŠLAIDŲ APMOKĖJIMO </w:t>
      </w:r>
    </w:p>
    <w:p w:rsidR="00B555F1" w:rsidRPr="0053390B" w:rsidRDefault="00B555F1" w:rsidP="00B555F1">
      <w:pPr>
        <w:tabs>
          <w:tab w:val="left" w:pos="2670"/>
        </w:tabs>
        <w:jc w:val="center"/>
        <w:rPr>
          <w:rFonts w:ascii="Times New Roman" w:hAnsi="Times New Roman" w:cs="Times New Roman"/>
          <w:b/>
          <w:bCs/>
          <w:sz w:val="24"/>
          <w:szCs w:val="24"/>
        </w:rPr>
      </w:pPr>
      <w:r w:rsidRPr="0053390B">
        <w:rPr>
          <w:rFonts w:ascii="Times New Roman" w:hAnsi="Times New Roman" w:cs="Times New Roman"/>
          <w:b/>
          <w:bCs/>
          <w:sz w:val="24"/>
          <w:szCs w:val="24"/>
        </w:rPr>
        <w:t>TVARKOS APRAŠAS</w:t>
      </w:r>
    </w:p>
    <w:p w:rsidR="00B555F1" w:rsidRPr="0053390B" w:rsidRDefault="00B555F1" w:rsidP="00B555F1">
      <w:pPr>
        <w:tabs>
          <w:tab w:val="left" w:pos="2670"/>
        </w:tabs>
        <w:rPr>
          <w:rFonts w:ascii="Times New Roman" w:hAnsi="Times New Roman" w:cs="Times New Roman"/>
          <w:b/>
          <w:bCs/>
          <w:sz w:val="24"/>
          <w:szCs w:val="24"/>
        </w:rPr>
      </w:pPr>
    </w:p>
    <w:p w:rsidR="00B555F1" w:rsidRPr="0053390B" w:rsidRDefault="00B555F1" w:rsidP="0053390B">
      <w:pPr>
        <w:tabs>
          <w:tab w:val="left" w:pos="2670"/>
        </w:tabs>
        <w:spacing w:after="0"/>
        <w:jc w:val="center"/>
        <w:rPr>
          <w:rFonts w:ascii="Times New Roman" w:hAnsi="Times New Roman" w:cs="Times New Roman"/>
          <w:b/>
          <w:bCs/>
          <w:sz w:val="24"/>
          <w:szCs w:val="24"/>
        </w:rPr>
      </w:pPr>
      <w:r w:rsidRPr="0053390B">
        <w:rPr>
          <w:rFonts w:ascii="Times New Roman" w:hAnsi="Times New Roman" w:cs="Times New Roman"/>
          <w:b/>
          <w:bCs/>
          <w:sz w:val="24"/>
          <w:szCs w:val="24"/>
        </w:rPr>
        <w:t>I SKYRIUS</w:t>
      </w:r>
    </w:p>
    <w:p w:rsidR="00B555F1" w:rsidRDefault="00B555F1" w:rsidP="0053390B">
      <w:pPr>
        <w:tabs>
          <w:tab w:val="left" w:pos="2670"/>
        </w:tabs>
        <w:spacing w:after="0"/>
        <w:jc w:val="center"/>
        <w:rPr>
          <w:rFonts w:ascii="Times New Roman" w:hAnsi="Times New Roman" w:cs="Times New Roman"/>
          <w:b/>
          <w:bCs/>
          <w:sz w:val="24"/>
          <w:szCs w:val="24"/>
        </w:rPr>
      </w:pPr>
      <w:r w:rsidRPr="0053390B">
        <w:rPr>
          <w:rFonts w:ascii="Times New Roman" w:hAnsi="Times New Roman" w:cs="Times New Roman"/>
          <w:b/>
          <w:bCs/>
          <w:sz w:val="24"/>
          <w:szCs w:val="24"/>
        </w:rPr>
        <w:t>BENDROSIOS NUOSTATOS</w:t>
      </w:r>
    </w:p>
    <w:p w:rsidR="0053390B" w:rsidRPr="0053390B" w:rsidRDefault="0053390B" w:rsidP="00F1315A">
      <w:pPr>
        <w:tabs>
          <w:tab w:val="left" w:pos="2670"/>
        </w:tabs>
        <w:spacing w:after="0"/>
        <w:jc w:val="both"/>
        <w:rPr>
          <w:rFonts w:ascii="Times New Roman" w:hAnsi="Times New Roman" w:cs="Times New Roman"/>
          <w:b/>
          <w:bCs/>
          <w:sz w:val="24"/>
          <w:szCs w:val="24"/>
        </w:rPr>
      </w:pPr>
    </w:p>
    <w:p w:rsidR="00B555F1" w:rsidRPr="0053390B" w:rsidRDefault="00B555F1" w:rsidP="00F1315A">
      <w:pPr>
        <w:pStyle w:val="Sraopastraipa"/>
        <w:numPr>
          <w:ilvl w:val="0"/>
          <w:numId w:val="1"/>
        </w:numPr>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t>Pagėgių savivaldybės Martyno Jankaus muziejaus vykimo į tarnybines komandiruotes ir jų išlaidų apmokėjimo tvarkos aprašas (toliau – Aprašas) parengtas vadovaujantis Tarnybinių komandiruočių išlaidų apmokėjimo biudžetinėse įstaigose taisyklėmis (toliau – Taisyklės), patvirtintomis Lietuvos Respublikos Vyriausybės 2004 m. balandžio 29 d. nutarimu Nr. 526.</w:t>
      </w:r>
    </w:p>
    <w:p w:rsidR="00B555F1" w:rsidRPr="0053390B" w:rsidRDefault="00B555F1" w:rsidP="00F1315A">
      <w:pPr>
        <w:pStyle w:val="Sraopastraipa"/>
        <w:numPr>
          <w:ilvl w:val="0"/>
          <w:numId w:val="1"/>
        </w:numPr>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t>Aprašas reglamentuoja vykimo į tarnybines komandiruotes ir jų išlaidų apmokėjimo Pagėgių savivaldybės Martyno Jankaus muziejuje (toliau – Muziejus) tvarką.</w:t>
      </w:r>
    </w:p>
    <w:p w:rsidR="00B555F1" w:rsidRPr="0053390B" w:rsidRDefault="00EB550A" w:rsidP="00F1315A">
      <w:pPr>
        <w:pStyle w:val="Sraopastraipa"/>
        <w:numPr>
          <w:ilvl w:val="0"/>
          <w:numId w:val="1"/>
        </w:numPr>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t>Tarnybine komandiruote laikomas:</w:t>
      </w:r>
    </w:p>
    <w:p w:rsidR="00EB550A" w:rsidRPr="0053390B" w:rsidRDefault="002B14A6" w:rsidP="00F1315A">
      <w:pPr>
        <w:pStyle w:val="Sraopastraipa"/>
        <w:numPr>
          <w:ilvl w:val="1"/>
          <w:numId w:val="1"/>
        </w:numPr>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t>m</w:t>
      </w:r>
      <w:r w:rsidR="00EB550A" w:rsidRPr="0053390B">
        <w:rPr>
          <w:rFonts w:ascii="Times New Roman" w:hAnsi="Times New Roman" w:cs="Times New Roman"/>
          <w:sz w:val="24"/>
          <w:szCs w:val="24"/>
        </w:rPr>
        <w:t>uziejaus darbuotojo, dirbančio pagal darbo sutartį (toliau – darbuotojas)</w:t>
      </w:r>
      <w:r w:rsidR="00AE66A7" w:rsidRPr="0053390B">
        <w:rPr>
          <w:rFonts w:ascii="Times New Roman" w:hAnsi="Times New Roman" w:cs="Times New Roman"/>
          <w:sz w:val="24"/>
          <w:szCs w:val="24"/>
        </w:rPr>
        <w:t>,</w:t>
      </w:r>
      <w:r w:rsidR="00EF6BA1">
        <w:rPr>
          <w:rFonts w:ascii="Times New Roman" w:hAnsi="Times New Roman" w:cs="Times New Roman"/>
          <w:sz w:val="24"/>
          <w:szCs w:val="24"/>
        </w:rPr>
        <w:t xml:space="preserve"> </w:t>
      </w:r>
      <w:r w:rsidR="002C170E" w:rsidRPr="0053390B">
        <w:rPr>
          <w:rFonts w:ascii="Times New Roman" w:hAnsi="Times New Roman" w:cs="Times New Roman"/>
          <w:sz w:val="24"/>
          <w:szCs w:val="24"/>
        </w:rPr>
        <w:t>išvykimas tam tikram laikui iš nuolatinės darbo vietos muziejaus vadovo arba jo įgalioto asmens siuntimu atlikti darbo funkcijų, vykdyti tarnybinio pavedimo ar kelti kvalifikacijos;</w:t>
      </w:r>
    </w:p>
    <w:p w:rsidR="004C36B3" w:rsidRPr="0053390B" w:rsidRDefault="002B14A6" w:rsidP="00F1315A">
      <w:pPr>
        <w:pStyle w:val="Sraopastraipa"/>
        <w:numPr>
          <w:ilvl w:val="1"/>
          <w:numId w:val="1"/>
        </w:numPr>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t>d</w:t>
      </w:r>
      <w:r w:rsidR="002C170E" w:rsidRPr="0053390B">
        <w:rPr>
          <w:rFonts w:ascii="Times New Roman" w:hAnsi="Times New Roman" w:cs="Times New Roman"/>
          <w:sz w:val="24"/>
          <w:szCs w:val="24"/>
        </w:rPr>
        <w:t>arbuotojo dalyvavimas įgyvendinant Europos Sąjungos ir (arba) kitos tarptautinės finansinės paramos finansuojamus projektus, kai jo komandiruotės išlaidos apmokamos iš Europos Sąjungos ir (arba) kitos tarptautinės finansinės paramos finansuojamų projektų lėšų (išskyrus finansuojamus iš Europos Sąjungos ir (arba) kitos tarptautinės finansinės paramos programų, kurių lėšos planuojamos Lietuvos Respublikos valstybės biudžete) pagal minėtų projektų sutartyse numatytas sąlygas</w:t>
      </w:r>
      <w:r w:rsidR="004C36B3" w:rsidRPr="0053390B">
        <w:rPr>
          <w:rFonts w:ascii="Times New Roman" w:hAnsi="Times New Roman" w:cs="Times New Roman"/>
          <w:sz w:val="24"/>
          <w:szCs w:val="24"/>
        </w:rPr>
        <w:t>. Šiuo atveju netaikomos Taisyklių II skyriuje nustatytos tarnybinių komandiruočių į užsienio valstybes išlaidų apmokėjimo sąlygos.</w:t>
      </w:r>
    </w:p>
    <w:p w:rsidR="004C36B3" w:rsidRPr="0053390B" w:rsidRDefault="004C36B3" w:rsidP="00F1315A">
      <w:pPr>
        <w:pStyle w:val="Sraopastraipa"/>
        <w:numPr>
          <w:ilvl w:val="0"/>
          <w:numId w:val="1"/>
        </w:numPr>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t>Pasiųstam į tarnybinę komandiruotę darbuotojui per visą komandiruotės laiką paliekama darbo vieta (pareigos) ir darbo užmokestis.</w:t>
      </w:r>
    </w:p>
    <w:p w:rsidR="004C36B3" w:rsidRPr="0053390B" w:rsidRDefault="004C36B3" w:rsidP="00F1315A">
      <w:pPr>
        <w:pStyle w:val="Sraopastraipa"/>
        <w:numPr>
          <w:ilvl w:val="0"/>
          <w:numId w:val="1"/>
        </w:numPr>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t xml:space="preserve">Muziejaus vadovas arba jo įgaliotas asmuo gali siųsti savo darbuotojus į </w:t>
      </w:r>
      <w:r w:rsidR="000B0D4C" w:rsidRPr="0053390B">
        <w:rPr>
          <w:rFonts w:ascii="Times New Roman" w:hAnsi="Times New Roman" w:cs="Times New Roman"/>
          <w:sz w:val="24"/>
          <w:szCs w:val="24"/>
        </w:rPr>
        <w:t>komandiruotę į užsienio valstybę ne ilgiau kaip 30 kalendorinių dienų (neįskaitant kelionės laiko).</w:t>
      </w:r>
    </w:p>
    <w:p w:rsidR="000B0D4C" w:rsidRPr="0053390B" w:rsidRDefault="000B0D4C" w:rsidP="00F1315A">
      <w:pPr>
        <w:pStyle w:val="Sraopastraipa"/>
        <w:tabs>
          <w:tab w:val="left" w:pos="2670"/>
        </w:tabs>
        <w:jc w:val="both"/>
        <w:rPr>
          <w:rFonts w:ascii="Times New Roman" w:hAnsi="Times New Roman" w:cs="Times New Roman"/>
          <w:sz w:val="24"/>
          <w:szCs w:val="24"/>
        </w:rPr>
      </w:pPr>
    </w:p>
    <w:p w:rsidR="000B0D4C" w:rsidRPr="0053390B" w:rsidRDefault="000B0D4C" w:rsidP="00F1315A">
      <w:pPr>
        <w:pStyle w:val="Sraopastraipa"/>
        <w:tabs>
          <w:tab w:val="left" w:pos="2670"/>
        </w:tabs>
        <w:jc w:val="both"/>
        <w:rPr>
          <w:rFonts w:ascii="Times New Roman" w:hAnsi="Times New Roman" w:cs="Times New Roman"/>
          <w:b/>
          <w:bCs/>
          <w:sz w:val="24"/>
          <w:szCs w:val="24"/>
        </w:rPr>
      </w:pPr>
      <w:r w:rsidRPr="0053390B">
        <w:rPr>
          <w:rFonts w:ascii="Times New Roman" w:hAnsi="Times New Roman" w:cs="Times New Roman"/>
          <w:b/>
          <w:bCs/>
          <w:sz w:val="24"/>
          <w:szCs w:val="24"/>
        </w:rPr>
        <w:t>II SKYRIUS</w:t>
      </w:r>
    </w:p>
    <w:p w:rsidR="00206282" w:rsidRPr="0053390B" w:rsidRDefault="00206282" w:rsidP="00F1315A">
      <w:pPr>
        <w:pStyle w:val="Sraopastraipa"/>
        <w:tabs>
          <w:tab w:val="left" w:pos="2670"/>
        </w:tabs>
        <w:jc w:val="both"/>
        <w:rPr>
          <w:rFonts w:ascii="Times New Roman" w:hAnsi="Times New Roman" w:cs="Times New Roman"/>
          <w:b/>
          <w:bCs/>
          <w:sz w:val="24"/>
          <w:szCs w:val="24"/>
        </w:rPr>
      </w:pPr>
      <w:r w:rsidRPr="0053390B">
        <w:rPr>
          <w:rFonts w:ascii="Times New Roman" w:hAnsi="Times New Roman" w:cs="Times New Roman"/>
          <w:b/>
          <w:bCs/>
          <w:sz w:val="24"/>
          <w:szCs w:val="24"/>
        </w:rPr>
        <w:t>TARNYBINIŲ KOMANDIRUOČIŲ ĮFORMINIMAS IR IŠLAIDŲ APMOKĖJIMAS</w:t>
      </w:r>
    </w:p>
    <w:p w:rsidR="002B14A6" w:rsidRPr="0053390B" w:rsidRDefault="002B14A6" w:rsidP="00F1315A">
      <w:pPr>
        <w:pStyle w:val="Sraopastraipa"/>
        <w:tabs>
          <w:tab w:val="left" w:pos="2670"/>
        </w:tabs>
        <w:jc w:val="both"/>
        <w:rPr>
          <w:rFonts w:ascii="Times New Roman" w:hAnsi="Times New Roman" w:cs="Times New Roman"/>
          <w:sz w:val="24"/>
          <w:szCs w:val="24"/>
        </w:rPr>
      </w:pPr>
    </w:p>
    <w:p w:rsidR="00206282" w:rsidRPr="0053390B" w:rsidRDefault="00206282" w:rsidP="00F1315A">
      <w:pPr>
        <w:pStyle w:val="Sraopastraipa"/>
        <w:numPr>
          <w:ilvl w:val="0"/>
          <w:numId w:val="1"/>
        </w:numPr>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t>Siuntimas į tarnybinę komandiruotę</w:t>
      </w:r>
      <w:r w:rsidR="002A1659" w:rsidRPr="0053390B">
        <w:rPr>
          <w:rFonts w:ascii="Times New Roman" w:hAnsi="Times New Roman" w:cs="Times New Roman"/>
          <w:sz w:val="24"/>
          <w:szCs w:val="24"/>
        </w:rPr>
        <w:t xml:space="preserve"> Lietuvos Respublikos teritorijoje,  įskaitant siuntimą į tarnybinę komandiruotę vienai darbo dienai, įforminamas muziejaus vadovo arba jo įgalioto asmens įsakymu, kuriame nurodoma:</w:t>
      </w:r>
    </w:p>
    <w:p w:rsidR="002A1659" w:rsidRPr="0053390B" w:rsidRDefault="0053390B" w:rsidP="00F1315A">
      <w:pPr>
        <w:pStyle w:val="Sraopastraipa"/>
        <w:numPr>
          <w:ilvl w:val="1"/>
          <w:numId w:val="1"/>
        </w:numPr>
        <w:tabs>
          <w:tab w:val="left" w:pos="2670"/>
        </w:tabs>
        <w:jc w:val="both"/>
        <w:rPr>
          <w:rFonts w:ascii="Times New Roman" w:hAnsi="Times New Roman" w:cs="Times New Roman"/>
          <w:sz w:val="24"/>
          <w:szCs w:val="24"/>
        </w:rPr>
      </w:pPr>
      <w:r>
        <w:rPr>
          <w:rFonts w:ascii="Times New Roman" w:hAnsi="Times New Roman" w:cs="Times New Roman"/>
          <w:sz w:val="24"/>
          <w:szCs w:val="24"/>
        </w:rPr>
        <w:t xml:space="preserve"> s</w:t>
      </w:r>
      <w:r w:rsidR="002A1659" w:rsidRPr="0053390B">
        <w:rPr>
          <w:rFonts w:ascii="Times New Roman" w:hAnsi="Times New Roman" w:cs="Times New Roman"/>
          <w:sz w:val="24"/>
          <w:szCs w:val="24"/>
        </w:rPr>
        <w:t>iunčiamo į tarnybinę komandiruotę darbuotojo vardas, pavardė, pareigos;</w:t>
      </w:r>
    </w:p>
    <w:p w:rsidR="002A1659" w:rsidRPr="0053390B" w:rsidRDefault="0053390B" w:rsidP="00F1315A">
      <w:pPr>
        <w:pStyle w:val="Sraopastraipa"/>
        <w:numPr>
          <w:ilvl w:val="1"/>
          <w:numId w:val="1"/>
        </w:numPr>
        <w:tabs>
          <w:tab w:val="left" w:pos="2670"/>
        </w:tabs>
        <w:jc w:val="both"/>
        <w:rPr>
          <w:rFonts w:ascii="Times New Roman" w:hAnsi="Times New Roman" w:cs="Times New Roman"/>
          <w:sz w:val="24"/>
          <w:szCs w:val="24"/>
        </w:rPr>
      </w:pPr>
      <w:r>
        <w:rPr>
          <w:rFonts w:ascii="Times New Roman" w:hAnsi="Times New Roman" w:cs="Times New Roman"/>
          <w:sz w:val="24"/>
          <w:szCs w:val="24"/>
        </w:rPr>
        <w:t xml:space="preserve"> k</w:t>
      </w:r>
      <w:r w:rsidR="002A1659" w:rsidRPr="0053390B">
        <w:rPr>
          <w:rFonts w:ascii="Times New Roman" w:hAnsi="Times New Roman" w:cs="Times New Roman"/>
          <w:sz w:val="24"/>
          <w:szCs w:val="24"/>
        </w:rPr>
        <w:t>omandiruotė tikslas, vietovė (vietovės);</w:t>
      </w:r>
    </w:p>
    <w:p w:rsidR="002A1659" w:rsidRPr="0053390B" w:rsidRDefault="0053390B" w:rsidP="00F1315A">
      <w:pPr>
        <w:pStyle w:val="Sraopastraipa"/>
        <w:numPr>
          <w:ilvl w:val="1"/>
          <w:numId w:val="1"/>
        </w:numPr>
        <w:tabs>
          <w:tab w:val="left" w:pos="2670"/>
        </w:tabs>
        <w:jc w:val="both"/>
        <w:rPr>
          <w:rFonts w:ascii="Times New Roman" w:hAnsi="Times New Roman" w:cs="Times New Roman"/>
          <w:sz w:val="24"/>
          <w:szCs w:val="24"/>
        </w:rPr>
      </w:pPr>
      <w:r>
        <w:rPr>
          <w:rFonts w:ascii="Times New Roman" w:hAnsi="Times New Roman" w:cs="Times New Roman"/>
          <w:sz w:val="24"/>
          <w:szCs w:val="24"/>
        </w:rPr>
        <w:t xml:space="preserve"> k</w:t>
      </w:r>
      <w:r w:rsidR="002A1659" w:rsidRPr="0053390B">
        <w:rPr>
          <w:rFonts w:ascii="Times New Roman" w:hAnsi="Times New Roman" w:cs="Times New Roman"/>
          <w:sz w:val="24"/>
          <w:szCs w:val="24"/>
        </w:rPr>
        <w:t>omandiruotės laikas ir trukmė;</w:t>
      </w:r>
    </w:p>
    <w:p w:rsidR="002A1659" w:rsidRPr="0053390B" w:rsidRDefault="0053390B" w:rsidP="00F1315A">
      <w:pPr>
        <w:pStyle w:val="Sraopastraipa"/>
        <w:numPr>
          <w:ilvl w:val="1"/>
          <w:numId w:val="1"/>
        </w:numPr>
        <w:tabs>
          <w:tab w:val="left" w:pos="2670"/>
        </w:tabs>
        <w:jc w:val="both"/>
        <w:rPr>
          <w:rFonts w:ascii="Times New Roman" w:hAnsi="Times New Roman" w:cs="Times New Roman"/>
          <w:sz w:val="24"/>
          <w:szCs w:val="24"/>
        </w:rPr>
      </w:pPr>
      <w:r>
        <w:rPr>
          <w:rFonts w:ascii="Times New Roman" w:hAnsi="Times New Roman" w:cs="Times New Roman"/>
          <w:sz w:val="24"/>
          <w:szCs w:val="24"/>
        </w:rPr>
        <w:t xml:space="preserve"> k</w:t>
      </w:r>
      <w:r w:rsidR="002A1659" w:rsidRPr="0053390B">
        <w:rPr>
          <w:rFonts w:ascii="Times New Roman" w:hAnsi="Times New Roman" w:cs="Times New Roman"/>
          <w:sz w:val="24"/>
          <w:szCs w:val="24"/>
        </w:rPr>
        <w:t>omandiruotės išlaidos, kurias apmokės muziejus arba renginio organizatoriai.</w:t>
      </w:r>
    </w:p>
    <w:p w:rsidR="002A1659" w:rsidRPr="0053390B" w:rsidRDefault="002A1659" w:rsidP="00F1315A">
      <w:pPr>
        <w:pStyle w:val="Sraopastraipa"/>
        <w:numPr>
          <w:ilvl w:val="0"/>
          <w:numId w:val="1"/>
        </w:numPr>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t>Siunčiamam į tarnybinę komandiruotę darbuotojui gali būti išmokamas avansas. Įsakyme nurodomas avanso dydis neturi viršyti numatomų komandiruotės išlaidų.</w:t>
      </w:r>
    </w:p>
    <w:p w:rsidR="002A1659" w:rsidRPr="0053390B" w:rsidRDefault="00546DDC" w:rsidP="00F1315A">
      <w:pPr>
        <w:pStyle w:val="Sraopastraipa"/>
        <w:numPr>
          <w:ilvl w:val="0"/>
          <w:numId w:val="1"/>
        </w:numPr>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lastRenderedPageBreak/>
        <w:t xml:space="preserve">Grįžęs iš komandiruotė darbuotojas privalo per 3 darbo dienas pateikti jį komandiravusiai įstaigai </w:t>
      </w:r>
      <w:r w:rsidR="007F7F7B" w:rsidRPr="0053390B">
        <w:rPr>
          <w:rFonts w:ascii="Times New Roman" w:hAnsi="Times New Roman" w:cs="Times New Roman"/>
          <w:sz w:val="24"/>
          <w:szCs w:val="24"/>
        </w:rPr>
        <w:t>atitinkamus dokumentus apie komandiruotės metu patirtas faktines išlaidas. Jeigu buvo išmokėtas avansas – grąžinti nepanaudotą avanso likutį.</w:t>
      </w:r>
    </w:p>
    <w:p w:rsidR="007F7F7B" w:rsidRPr="0053390B" w:rsidRDefault="007F7F7B" w:rsidP="00F1315A">
      <w:pPr>
        <w:pStyle w:val="Sraopastraipa"/>
        <w:numPr>
          <w:ilvl w:val="0"/>
          <w:numId w:val="1"/>
        </w:numPr>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t>Kai darbuotojas siunčiamas į tarnybinę komandiruotę Lietuvos Respublikos teritorijoje, jam apmokamos šios komandiruotės išlaidos:</w:t>
      </w:r>
    </w:p>
    <w:p w:rsidR="007F7F7B" w:rsidRPr="0053390B" w:rsidRDefault="000E18BF" w:rsidP="00F1315A">
      <w:pPr>
        <w:pStyle w:val="Sraopastraipa"/>
        <w:numPr>
          <w:ilvl w:val="1"/>
          <w:numId w:val="1"/>
        </w:numPr>
        <w:tabs>
          <w:tab w:val="left" w:pos="2670"/>
        </w:tabs>
        <w:jc w:val="both"/>
        <w:rPr>
          <w:rFonts w:ascii="Times New Roman" w:hAnsi="Times New Roman" w:cs="Times New Roman"/>
          <w:sz w:val="24"/>
          <w:szCs w:val="24"/>
        </w:rPr>
      </w:pPr>
      <w:r>
        <w:rPr>
          <w:rFonts w:ascii="Times New Roman" w:hAnsi="Times New Roman" w:cs="Times New Roman"/>
          <w:sz w:val="24"/>
          <w:szCs w:val="24"/>
        </w:rPr>
        <w:t xml:space="preserve"> </w:t>
      </w:r>
      <w:r w:rsidR="006C5D51" w:rsidRPr="0053390B">
        <w:rPr>
          <w:rFonts w:ascii="Times New Roman" w:hAnsi="Times New Roman" w:cs="Times New Roman"/>
          <w:sz w:val="24"/>
          <w:szCs w:val="24"/>
        </w:rPr>
        <w:t>d</w:t>
      </w:r>
      <w:r w:rsidR="007F7F7B" w:rsidRPr="0053390B">
        <w:rPr>
          <w:rFonts w:ascii="Times New Roman" w:hAnsi="Times New Roman" w:cs="Times New Roman"/>
          <w:sz w:val="24"/>
          <w:szCs w:val="24"/>
        </w:rPr>
        <w:t>ienpinigiai – 15 procentų patvirtinto bazinės socialinės išmokos dydžio, jeigu komandiruotė trunka ilgiau nei vieną darbo dieną, už įsakyme nurodytą komandiruotės laiką;</w:t>
      </w:r>
    </w:p>
    <w:p w:rsidR="007F7F7B" w:rsidRPr="0053390B" w:rsidRDefault="000E18BF" w:rsidP="00F1315A">
      <w:pPr>
        <w:pStyle w:val="Sraopastraipa"/>
        <w:numPr>
          <w:ilvl w:val="1"/>
          <w:numId w:val="1"/>
        </w:numPr>
        <w:tabs>
          <w:tab w:val="left" w:pos="2670"/>
        </w:tabs>
        <w:jc w:val="both"/>
        <w:rPr>
          <w:rFonts w:ascii="Times New Roman" w:hAnsi="Times New Roman" w:cs="Times New Roman"/>
          <w:sz w:val="24"/>
          <w:szCs w:val="24"/>
        </w:rPr>
      </w:pPr>
      <w:r>
        <w:rPr>
          <w:rFonts w:ascii="Times New Roman" w:hAnsi="Times New Roman" w:cs="Times New Roman"/>
          <w:sz w:val="24"/>
          <w:szCs w:val="24"/>
        </w:rPr>
        <w:t xml:space="preserve"> </w:t>
      </w:r>
      <w:r w:rsidR="006C5D51" w:rsidRPr="0053390B">
        <w:rPr>
          <w:rFonts w:ascii="Times New Roman" w:hAnsi="Times New Roman" w:cs="Times New Roman"/>
          <w:sz w:val="24"/>
          <w:szCs w:val="24"/>
        </w:rPr>
        <w:t>g</w:t>
      </w:r>
      <w:r w:rsidR="00862BA9" w:rsidRPr="0053390B">
        <w:rPr>
          <w:rFonts w:ascii="Times New Roman" w:hAnsi="Times New Roman" w:cs="Times New Roman"/>
          <w:sz w:val="24"/>
          <w:szCs w:val="24"/>
        </w:rPr>
        <w:t>yvenamojo ploto nuomos išlaidos;</w:t>
      </w:r>
    </w:p>
    <w:p w:rsidR="00862BA9" w:rsidRPr="0053390B" w:rsidRDefault="000E18BF" w:rsidP="00F1315A">
      <w:pPr>
        <w:pStyle w:val="Sraopastraipa"/>
        <w:numPr>
          <w:ilvl w:val="1"/>
          <w:numId w:val="1"/>
        </w:numPr>
        <w:tabs>
          <w:tab w:val="left" w:pos="2670"/>
        </w:tabs>
        <w:jc w:val="both"/>
        <w:rPr>
          <w:rFonts w:ascii="Times New Roman" w:hAnsi="Times New Roman" w:cs="Times New Roman"/>
          <w:sz w:val="24"/>
          <w:szCs w:val="24"/>
        </w:rPr>
      </w:pPr>
      <w:r>
        <w:rPr>
          <w:rFonts w:ascii="Times New Roman" w:hAnsi="Times New Roman" w:cs="Times New Roman"/>
          <w:sz w:val="24"/>
          <w:szCs w:val="24"/>
        </w:rPr>
        <w:t xml:space="preserve"> </w:t>
      </w:r>
      <w:r w:rsidR="006C5D51" w:rsidRPr="0053390B">
        <w:rPr>
          <w:rFonts w:ascii="Times New Roman" w:hAnsi="Times New Roman" w:cs="Times New Roman"/>
          <w:sz w:val="24"/>
          <w:szCs w:val="24"/>
        </w:rPr>
        <w:t>t</w:t>
      </w:r>
      <w:r w:rsidR="00862BA9" w:rsidRPr="0053390B">
        <w:rPr>
          <w:rFonts w:ascii="Times New Roman" w:hAnsi="Times New Roman" w:cs="Times New Roman"/>
          <w:sz w:val="24"/>
          <w:szCs w:val="24"/>
        </w:rPr>
        <w:t>ransporto išlaidos, susijusios su komandiruotės tikslais:</w:t>
      </w:r>
    </w:p>
    <w:p w:rsidR="00862BA9" w:rsidRPr="0053390B" w:rsidRDefault="006C5D51" w:rsidP="00F1315A">
      <w:pPr>
        <w:pStyle w:val="Sraopastraipa"/>
        <w:numPr>
          <w:ilvl w:val="2"/>
          <w:numId w:val="1"/>
        </w:numPr>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t>k</w:t>
      </w:r>
      <w:r w:rsidR="00862BA9" w:rsidRPr="0053390B">
        <w:rPr>
          <w:rFonts w:ascii="Times New Roman" w:hAnsi="Times New Roman" w:cs="Times New Roman"/>
          <w:sz w:val="24"/>
          <w:szCs w:val="24"/>
        </w:rPr>
        <w:t>elionės į komandiruotės vietą (vietas) ir grįžimo iš jos</w:t>
      </w:r>
      <w:r w:rsidR="0086470B" w:rsidRPr="0053390B">
        <w:rPr>
          <w:rFonts w:ascii="Times New Roman" w:hAnsi="Times New Roman" w:cs="Times New Roman"/>
          <w:sz w:val="24"/>
          <w:szCs w:val="24"/>
        </w:rPr>
        <w:t xml:space="preserve"> į nuolatinę darbo vietą visų rūšių transporto priemonėmis, išskyrus lengvuosius automobilius taksi;</w:t>
      </w:r>
    </w:p>
    <w:p w:rsidR="0086470B" w:rsidRPr="0053390B" w:rsidRDefault="006C5D51" w:rsidP="00F1315A">
      <w:pPr>
        <w:pStyle w:val="Sraopastraipa"/>
        <w:numPr>
          <w:ilvl w:val="2"/>
          <w:numId w:val="1"/>
        </w:numPr>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t>k</w:t>
      </w:r>
      <w:r w:rsidR="0086470B" w:rsidRPr="0053390B">
        <w:rPr>
          <w:rFonts w:ascii="Times New Roman" w:hAnsi="Times New Roman" w:cs="Times New Roman"/>
          <w:sz w:val="24"/>
          <w:szCs w:val="24"/>
        </w:rPr>
        <w:t>omandiruotės vietovėje (vietovėse) visų rūšių transporto priemonėmis;</w:t>
      </w:r>
    </w:p>
    <w:p w:rsidR="0086470B" w:rsidRPr="0053390B" w:rsidRDefault="000E18BF" w:rsidP="00F1315A">
      <w:pPr>
        <w:pStyle w:val="Sraopastraipa"/>
        <w:numPr>
          <w:ilvl w:val="1"/>
          <w:numId w:val="1"/>
        </w:numPr>
        <w:tabs>
          <w:tab w:val="left" w:pos="2670"/>
        </w:tabs>
        <w:jc w:val="both"/>
        <w:rPr>
          <w:rFonts w:ascii="Times New Roman" w:hAnsi="Times New Roman" w:cs="Times New Roman"/>
          <w:sz w:val="24"/>
          <w:szCs w:val="24"/>
        </w:rPr>
      </w:pPr>
      <w:r>
        <w:rPr>
          <w:rFonts w:ascii="Times New Roman" w:hAnsi="Times New Roman" w:cs="Times New Roman"/>
          <w:sz w:val="24"/>
          <w:szCs w:val="24"/>
        </w:rPr>
        <w:t xml:space="preserve"> </w:t>
      </w:r>
      <w:r w:rsidR="006C5D51" w:rsidRPr="0053390B">
        <w:rPr>
          <w:rFonts w:ascii="Times New Roman" w:hAnsi="Times New Roman" w:cs="Times New Roman"/>
          <w:sz w:val="24"/>
          <w:szCs w:val="24"/>
        </w:rPr>
        <w:t>k</w:t>
      </w:r>
      <w:r w:rsidR="0086470B" w:rsidRPr="0053390B">
        <w:rPr>
          <w:rFonts w:ascii="Times New Roman" w:hAnsi="Times New Roman" w:cs="Times New Roman"/>
          <w:sz w:val="24"/>
          <w:szCs w:val="24"/>
        </w:rPr>
        <w:t>omandiruotės metu sunaudotų degalų įsigijimo išlaidos, atsižvelgiant į komandiruotės metu nuvažiuotų kilometrų skaičių ir įstaigos patvirtintas degalų sunaudojimo normas</w:t>
      </w:r>
      <w:r w:rsidR="005A40C5" w:rsidRPr="0053390B">
        <w:rPr>
          <w:rFonts w:ascii="Times New Roman" w:hAnsi="Times New Roman" w:cs="Times New Roman"/>
          <w:sz w:val="24"/>
          <w:szCs w:val="24"/>
        </w:rPr>
        <w:t xml:space="preserve"> atitinkamai transporto priemonei pagal atitinkamos transporto priemonės gamintojo nurodytus transporto priemonės techninius duomenis (degalų sunaudojimo normas 100 kilometrų), jeigu į komandiruotę buvo važiuojama komandiruoto darbuotojo transporto priemone. Įsakyme ar potvarkyje būtina nurodyti transporto priemonės markę, modelį ir valstybinį numerį. Komandiruoto darbuotojo automobilio naudojimo komandiruotės tikslams tvarką nustato valstybės institucijų ir įstaigų vadovai.</w:t>
      </w:r>
      <w:r w:rsidR="00231C8D" w:rsidRPr="0053390B">
        <w:rPr>
          <w:rFonts w:ascii="Times New Roman" w:hAnsi="Times New Roman" w:cs="Times New Roman"/>
          <w:sz w:val="24"/>
          <w:szCs w:val="24"/>
        </w:rPr>
        <w:t xml:space="preserve"> Kelionei po miestą skiriama +8% sunaudoto kuro visai kelionei pirmyn ir atgal pagal nustatytus automobilių direkcijos atstumus tarp miestų;</w:t>
      </w:r>
    </w:p>
    <w:p w:rsidR="00231C8D" w:rsidRPr="0053390B" w:rsidRDefault="000E18BF" w:rsidP="00F1315A">
      <w:pPr>
        <w:pStyle w:val="Sraopastraipa"/>
        <w:numPr>
          <w:ilvl w:val="1"/>
          <w:numId w:val="1"/>
        </w:numPr>
        <w:tabs>
          <w:tab w:val="left" w:pos="2670"/>
        </w:tabs>
        <w:jc w:val="both"/>
        <w:rPr>
          <w:rFonts w:ascii="Times New Roman" w:hAnsi="Times New Roman" w:cs="Times New Roman"/>
          <w:sz w:val="24"/>
          <w:szCs w:val="24"/>
        </w:rPr>
      </w:pPr>
      <w:r>
        <w:rPr>
          <w:rFonts w:ascii="Times New Roman" w:hAnsi="Times New Roman" w:cs="Times New Roman"/>
          <w:sz w:val="24"/>
          <w:szCs w:val="24"/>
        </w:rPr>
        <w:t xml:space="preserve"> </w:t>
      </w:r>
      <w:r w:rsidR="006C5D51" w:rsidRPr="0053390B">
        <w:rPr>
          <w:rFonts w:ascii="Times New Roman" w:hAnsi="Times New Roman" w:cs="Times New Roman"/>
          <w:sz w:val="24"/>
          <w:szCs w:val="24"/>
        </w:rPr>
        <w:t>s</w:t>
      </w:r>
      <w:r w:rsidR="00231C8D" w:rsidRPr="0053390B">
        <w:rPr>
          <w:rFonts w:ascii="Times New Roman" w:hAnsi="Times New Roman" w:cs="Times New Roman"/>
          <w:sz w:val="24"/>
          <w:szCs w:val="24"/>
        </w:rPr>
        <w:t>eminaro, kursų, mokymų mokestis;</w:t>
      </w:r>
    </w:p>
    <w:p w:rsidR="00231C8D" w:rsidRPr="0053390B" w:rsidRDefault="000E18BF" w:rsidP="00F1315A">
      <w:pPr>
        <w:pStyle w:val="Sraopastraipa"/>
        <w:numPr>
          <w:ilvl w:val="1"/>
          <w:numId w:val="1"/>
        </w:numPr>
        <w:tabs>
          <w:tab w:val="left" w:pos="2670"/>
        </w:tabs>
        <w:jc w:val="both"/>
        <w:rPr>
          <w:rFonts w:ascii="Times New Roman" w:hAnsi="Times New Roman" w:cs="Times New Roman"/>
          <w:sz w:val="24"/>
          <w:szCs w:val="24"/>
        </w:rPr>
      </w:pPr>
      <w:r>
        <w:rPr>
          <w:rFonts w:ascii="Times New Roman" w:hAnsi="Times New Roman" w:cs="Times New Roman"/>
          <w:sz w:val="24"/>
          <w:szCs w:val="24"/>
        </w:rPr>
        <w:t xml:space="preserve"> </w:t>
      </w:r>
      <w:r w:rsidR="006C5D51" w:rsidRPr="0053390B">
        <w:rPr>
          <w:rFonts w:ascii="Times New Roman" w:hAnsi="Times New Roman" w:cs="Times New Roman"/>
          <w:sz w:val="24"/>
          <w:szCs w:val="24"/>
        </w:rPr>
        <w:t>v</w:t>
      </w:r>
      <w:r w:rsidR="00231C8D" w:rsidRPr="0053390B">
        <w:rPr>
          <w:rFonts w:ascii="Times New Roman" w:hAnsi="Times New Roman" w:cs="Times New Roman"/>
          <w:sz w:val="24"/>
          <w:szCs w:val="24"/>
        </w:rPr>
        <w:t>ykstant į konferenciją, simpoziumą, parodą ar kitą renginį – registravimosi renginyje mokesčio ar bilietų į renginį pirkimo išlaidos, jei išduodami kvalifikaciniai pažymėjimai;</w:t>
      </w:r>
    </w:p>
    <w:p w:rsidR="00231C8D" w:rsidRPr="0053390B" w:rsidRDefault="00231C8D" w:rsidP="00F1315A">
      <w:pPr>
        <w:pStyle w:val="Sraopastraipa"/>
        <w:numPr>
          <w:ilvl w:val="0"/>
          <w:numId w:val="1"/>
        </w:numPr>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t xml:space="preserve">Komandiruotės išlaidos, nurodytos </w:t>
      </w:r>
      <w:r w:rsidR="00591D9B" w:rsidRPr="0053390B">
        <w:rPr>
          <w:rFonts w:ascii="Times New Roman" w:hAnsi="Times New Roman" w:cs="Times New Roman"/>
          <w:sz w:val="24"/>
          <w:szCs w:val="24"/>
        </w:rPr>
        <w:t>Aprašo 9.2-9.6 punktuose, apmokamos tik tais atvejais, kai pateikiami jas įrodantys dokumentai.</w:t>
      </w:r>
    </w:p>
    <w:p w:rsidR="00591D9B" w:rsidRPr="0053390B" w:rsidRDefault="00591D9B" w:rsidP="00F1315A">
      <w:pPr>
        <w:pStyle w:val="Sraopastraipa"/>
        <w:numPr>
          <w:ilvl w:val="0"/>
          <w:numId w:val="1"/>
        </w:numPr>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t>Tais atvejais, kai komandiruojama į įvairius renginius (konferencijas, pasitarimus,</w:t>
      </w:r>
      <w:r w:rsidR="00934642" w:rsidRPr="0053390B">
        <w:rPr>
          <w:rFonts w:ascii="Times New Roman" w:hAnsi="Times New Roman" w:cs="Times New Roman"/>
          <w:sz w:val="24"/>
          <w:szCs w:val="24"/>
        </w:rPr>
        <w:t xml:space="preserve"> simpoziumus, meno festivalius ir panašiai), kurių organizatoriai apmoka komandiruotų darbuotojų išlaikymo (maitinimo, nakvynės) išlaidas, muziejaus vadovo ar jo įgalioto asmens įsakymu gali būti mokami dienpinigiai neviršijant 30 procentų Aprašo 9.1 punkte nurodytos dienpinigių normos.</w:t>
      </w:r>
    </w:p>
    <w:p w:rsidR="00934642" w:rsidRPr="0053390B" w:rsidRDefault="00934642" w:rsidP="00F1315A">
      <w:pPr>
        <w:pStyle w:val="Sraopastraipa"/>
        <w:numPr>
          <w:ilvl w:val="0"/>
          <w:numId w:val="1"/>
        </w:numPr>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t>Kai darbuotojas siunčiamas į tarnybinę komandiruotę į užsienio valstybę (valstybes), su tarnybine komandiruote susijusių išlaidų apmokėjimas derinamas individualia tvarka, atsižvelgiant į:</w:t>
      </w:r>
    </w:p>
    <w:p w:rsidR="00934642" w:rsidRPr="0053390B" w:rsidRDefault="00934642" w:rsidP="00F1315A">
      <w:pPr>
        <w:pStyle w:val="Sraopastraipa"/>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t>12.1.</w:t>
      </w:r>
      <w:r w:rsidR="009878E3" w:rsidRPr="0053390B">
        <w:rPr>
          <w:rFonts w:ascii="Times New Roman" w:hAnsi="Times New Roman" w:cs="Times New Roman"/>
          <w:sz w:val="24"/>
          <w:szCs w:val="24"/>
        </w:rPr>
        <w:t xml:space="preserve"> </w:t>
      </w:r>
      <w:r w:rsidRPr="0053390B">
        <w:rPr>
          <w:rFonts w:ascii="Times New Roman" w:hAnsi="Times New Roman" w:cs="Times New Roman"/>
          <w:sz w:val="24"/>
          <w:szCs w:val="24"/>
        </w:rPr>
        <w:t>seminaro, kursų, mokymų, projektų ir kitų renginių svarbą muziejui ir darbuotojui;</w:t>
      </w:r>
    </w:p>
    <w:p w:rsidR="00934642" w:rsidRPr="0053390B" w:rsidRDefault="00934642" w:rsidP="00F1315A">
      <w:pPr>
        <w:pStyle w:val="Sraopastraipa"/>
        <w:tabs>
          <w:tab w:val="left" w:pos="2670"/>
        </w:tabs>
        <w:jc w:val="both"/>
        <w:rPr>
          <w:rFonts w:ascii="Times New Roman" w:hAnsi="Times New Roman" w:cs="Times New Roman"/>
          <w:sz w:val="24"/>
          <w:szCs w:val="24"/>
        </w:rPr>
      </w:pPr>
      <w:r w:rsidRPr="0053390B">
        <w:rPr>
          <w:rFonts w:ascii="Times New Roman" w:hAnsi="Times New Roman" w:cs="Times New Roman"/>
          <w:sz w:val="24"/>
          <w:szCs w:val="24"/>
        </w:rPr>
        <w:t>12.2.</w:t>
      </w:r>
      <w:r w:rsidR="009878E3" w:rsidRPr="0053390B">
        <w:rPr>
          <w:rFonts w:ascii="Times New Roman" w:hAnsi="Times New Roman" w:cs="Times New Roman"/>
          <w:sz w:val="24"/>
          <w:szCs w:val="24"/>
        </w:rPr>
        <w:t xml:space="preserve"> </w:t>
      </w:r>
      <w:r w:rsidRPr="0053390B">
        <w:rPr>
          <w:rFonts w:ascii="Times New Roman" w:hAnsi="Times New Roman" w:cs="Times New Roman"/>
          <w:sz w:val="24"/>
          <w:szCs w:val="24"/>
        </w:rPr>
        <w:t>muziejaus savivaldybės ar šalies atstovavimą ir reprezentavimą;</w:t>
      </w:r>
    </w:p>
    <w:p w:rsidR="009878E3" w:rsidRPr="0053390B" w:rsidRDefault="00934642" w:rsidP="00F1315A">
      <w:pPr>
        <w:pStyle w:val="Sraopastraipa"/>
        <w:tabs>
          <w:tab w:val="left" w:pos="2670"/>
        </w:tabs>
        <w:spacing w:after="0"/>
        <w:jc w:val="both"/>
        <w:rPr>
          <w:rFonts w:ascii="Times New Roman" w:hAnsi="Times New Roman" w:cs="Times New Roman"/>
          <w:sz w:val="24"/>
          <w:szCs w:val="24"/>
        </w:rPr>
      </w:pPr>
      <w:r w:rsidRPr="0053390B">
        <w:rPr>
          <w:rFonts w:ascii="Times New Roman" w:hAnsi="Times New Roman" w:cs="Times New Roman"/>
          <w:sz w:val="24"/>
          <w:szCs w:val="24"/>
        </w:rPr>
        <w:t>12.3. turimas/esamas lėšas ir jų panaudojimo tikslingumą</w:t>
      </w:r>
      <w:r w:rsidR="009878E3" w:rsidRPr="0053390B">
        <w:rPr>
          <w:rFonts w:ascii="Times New Roman" w:hAnsi="Times New Roman" w:cs="Times New Roman"/>
          <w:sz w:val="24"/>
          <w:szCs w:val="24"/>
        </w:rPr>
        <w:t>.</w:t>
      </w:r>
    </w:p>
    <w:p w:rsidR="009878E3" w:rsidRPr="0053390B" w:rsidRDefault="009878E3" w:rsidP="00F1315A">
      <w:pPr>
        <w:tabs>
          <w:tab w:val="left" w:pos="2670"/>
        </w:tabs>
        <w:spacing w:after="0"/>
        <w:jc w:val="both"/>
        <w:rPr>
          <w:rFonts w:ascii="Times New Roman" w:hAnsi="Times New Roman" w:cs="Times New Roman"/>
          <w:sz w:val="24"/>
          <w:szCs w:val="24"/>
        </w:rPr>
      </w:pPr>
      <w:r w:rsidRPr="0053390B">
        <w:rPr>
          <w:rFonts w:ascii="Times New Roman" w:hAnsi="Times New Roman" w:cs="Times New Roman"/>
          <w:sz w:val="24"/>
          <w:szCs w:val="24"/>
        </w:rPr>
        <w:t xml:space="preserve">        13. su tarnybine komandiruote į užsienio valstybę (valstybes) susijusių išlaidų apmokėjimas vykdomas   vadovaujantis Tarnybinių komandiruočių išlaidų apmokėjimo biudžetinėse įstaigose taisyklėmis, patvirtintomis Lietuvos Respublikos Vyriausybės 2004 m. balandžio 29 d. nutarimu Nr. 526.</w:t>
      </w:r>
    </w:p>
    <w:p w:rsidR="009878E3" w:rsidRPr="0053390B" w:rsidRDefault="009878E3" w:rsidP="00F1315A">
      <w:pPr>
        <w:pStyle w:val="Sraopastraipa"/>
        <w:tabs>
          <w:tab w:val="left" w:pos="2670"/>
        </w:tabs>
        <w:jc w:val="both"/>
        <w:rPr>
          <w:rFonts w:ascii="Times New Roman" w:hAnsi="Times New Roman" w:cs="Times New Roman"/>
          <w:sz w:val="24"/>
          <w:szCs w:val="24"/>
        </w:rPr>
      </w:pPr>
    </w:p>
    <w:p w:rsidR="009878E3" w:rsidRPr="0053390B" w:rsidRDefault="00B84DA4" w:rsidP="00F1315A">
      <w:pPr>
        <w:pStyle w:val="Sraopastraipa"/>
        <w:tabs>
          <w:tab w:val="left" w:pos="2670"/>
        </w:tabs>
        <w:jc w:val="both"/>
        <w:rPr>
          <w:rFonts w:ascii="Times New Roman" w:hAnsi="Times New Roman" w:cs="Times New Roman"/>
          <w:sz w:val="24"/>
          <w:szCs w:val="24"/>
        </w:rPr>
      </w:pPr>
      <w:r>
        <w:rPr>
          <w:rFonts w:ascii="Times New Roman" w:hAnsi="Times New Roman" w:cs="Times New Roman"/>
          <w:sz w:val="24"/>
          <w:szCs w:val="24"/>
        </w:rPr>
        <w:t xml:space="preserve">                                              </w:t>
      </w:r>
      <w:r w:rsidR="009878E3" w:rsidRPr="0053390B">
        <w:rPr>
          <w:rFonts w:ascii="Times New Roman" w:hAnsi="Times New Roman" w:cs="Times New Roman"/>
          <w:sz w:val="24"/>
          <w:szCs w:val="24"/>
        </w:rPr>
        <w:t>___________________________</w:t>
      </w:r>
    </w:p>
    <w:p w:rsidR="009878E3" w:rsidRPr="0053390B" w:rsidRDefault="009878E3" w:rsidP="009878E3">
      <w:pPr>
        <w:tabs>
          <w:tab w:val="left" w:pos="2670"/>
        </w:tabs>
        <w:rPr>
          <w:rFonts w:ascii="Times New Roman" w:hAnsi="Times New Roman" w:cs="Times New Roman"/>
          <w:sz w:val="24"/>
          <w:szCs w:val="24"/>
        </w:rPr>
      </w:pPr>
    </w:p>
    <w:p w:rsidR="00934642" w:rsidRPr="0053390B" w:rsidRDefault="009878E3" w:rsidP="009878E3">
      <w:pPr>
        <w:tabs>
          <w:tab w:val="left" w:pos="2670"/>
        </w:tabs>
        <w:rPr>
          <w:rFonts w:ascii="Times New Roman" w:hAnsi="Times New Roman" w:cs="Times New Roman"/>
          <w:sz w:val="24"/>
          <w:szCs w:val="24"/>
        </w:rPr>
      </w:pPr>
      <w:r w:rsidRPr="0053390B">
        <w:rPr>
          <w:rFonts w:ascii="Times New Roman" w:hAnsi="Times New Roman" w:cs="Times New Roman"/>
          <w:sz w:val="24"/>
          <w:szCs w:val="24"/>
        </w:rPr>
        <w:t xml:space="preserve"> </w:t>
      </w:r>
      <w:r w:rsidR="00934642" w:rsidRPr="0053390B">
        <w:rPr>
          <w:rFonts w:ascii="Times New Roman" w:hAnsi="Times New Roman" w:cs="Times New Roman"/>
          <w:sz w:val="24"/>
          <w:szCs w:val="24"/>
        </w:rPr>
        <w:t xml:space="preserve"> </w:t>
      </w:r>
    </w:p>
    <w:sectPr w:rsidR="00934642" w:rsidRPr="0053390B" w:rsidSect="00970A2D">
      <w:pgSz w:w="11906" w:h="16838"/>
      <w:pgMar w:top="568" w:right="707" w:bottom="284" w:left="144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3A1"/>
    <w:multiLevelType w:val="multilevel"/>
    <w:tmpl w:val="082821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296"/>
  <w:hyphenationZone w:val="396"/>
  <w:characterSpacingControl w:val="doNotCompress"/>
  <w:compat/>
  <w:rsids>
    <w:rsidRoot w:val="00E87234"/>
    <w:rsid w:val="000B0D4C"/>
    <w:rsid w:val="000E18BF"/>
    <w:rsid w:val="00206282"/>
    <w:rsid w:val="00231C8D"/>
    <w:rsid w:val="002A1659"/>
    <w:rsid w:val="002B14A6"/>
    <w:rsid w:val="002C170E"/>
    <w:rsid w:val="002E4CDA"/>
    <w:rsid w:val="0032556C"/>
    <w:rsid w:val="004C36B3"/>
    <w:rsid w:val="0053390B"/>
    <w:rsid w:val="00546DDC"/>
    <w:rsid w:val="00591D9B"/>
    <w:rsid w:val="005A40C5"/>
    <w:rsid w:val="006C5D51"/>
    <w:rsid w:val="007F7F7B"/>
    <w:rsid w:val="00862BA9"/>
    <w:rsid w:val="0086470B"/>
    <w:rsid w:val="008F159F"/>
    <w:rsid w:val="00934642"/>
    <w:rsid w:val="00970A2D"/>
    <w:rsid w:val="009878E3"/>
    <w:rsid w:val="009D7648"/>
    <w:rsid w:val="00AE5308"/>
    <w:rsid w:val="00AE66A7"/>
    <w:rsid w:val="00B164F3"/>
    <w:rsid w:val="00B555F1"/>
    <w:rsid w:val="00B84DA4"/>
    <w:rsid w:val="00DB024C"/>
    <w:rsid w:val="00E87234"/>
    <w:rsid w:val="00EB550A"/>
    <w:rsid w:val="00EF6BA1"/>
    <w:rsid w:val="00F131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D764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555F1"/>
    <w:pPr>
      <w:ind w:left="720"/>
      <w:contextualSpacing/>
    </w:pPr>
  </w:style>
  <w:style w:type="paragraph" w:styleId="Debesliotekstas">
    <w:name w:val="Balloon Text"/>
    <w:basedOn w:val="prastasis"/>
    <w:link w:val="DebesliotekstasDiagrama"/>
    <w:uiPriority w:val="99"/>
    <w:semiHidden/>
    <w:unhideWhenUsed/>
    <w:rsid w:val="00970A2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70A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03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62A5-F56B-45B0-8C0B-1643CB7E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1056</Words>
  <Characters>6024</Characters>
  <Application>Microsoft Office Word</Application>
  <DocSecurity>0</DocSecurity>
  <Lines>50</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Muziejaus</cp:lastModifiedBy>
  <cp:revision>28</cp:revision>
  <cp:lastPrinted>2021-09-23T06:54:00Z</cp:lastPrinted>
  <dcterms:created xsi:type="dcterms:W3CDTF">2021-09-22T06:44:00Z</dcterms:created>
  <dcterms:modified xsi:type="dcterms:W3CDTF">2021-09-23T11:14:00Z</dcterms:modified>
</cp:coreProperties>
</file>